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01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干贝</w:t>
      </w:r>
      <w:bookmarkStart w:id="3" w:name="_GoBack"/>
      <w:bookmarkEnd w:id="3"/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Ganbei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Style w:val="6"/>
          <w:rFonts w:hint="eastAsia" w:ascii="Times New Roman" w:hAnsi="Times New Roman" w:eastAsia="宋体" w:cs="Times New Roman"/>
          <w:b/>
          <w:bCs/>
          <w:caps w:val="0"/>
          <w:color w:val="0F1115"/>
          <w:spacing w:val="0"/>
          <w:sz w:val="28"/>
          <w:szCs w:val="28"/>
          <w:highlight w:val="none"/>
          <w:shd w:val="clear" w:fill="FFFFFF"/>
          <w:lang w:val="en-US" w:eastAsia="zh-CN"/>
        </w:rPr>
        <w:t>SCALLOP ADDUCTOR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本品为扇贝科动物华贵类栉孔扇贝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>Mimachlamys nobilis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(Reeve)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海湾扇贝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>Argopecten irradisus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(Lamarck)的干燥闭壳肌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。取闭壳肌，干燥。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本品呈短圆柱状，直径1～2cm，表面黄白色至黄棕色。质坚韧。气微腥，味咸。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【鉴别】</w:t>
      </w:r>
      <w:bookmarkStart w:id="0" w:name="OLE_LINK1"/>
      <w:bookmarkStart w:id="1" w:name="OLE_LINK27"/>
      <w:r>
        <w:rPr>
          <w:rFonts w:hint="default" w:ascii="Times New Roman" w:hAnsi="Times New Roman" w:eastAsia="宋体" w:cs="Times New Roman"/>
          <w:sz w:val="24"/>
          <w:szCs w:val="24"/>
        </w:rPr>
        <w:t>取本品粉末0.5g，加70%乙醇10ml，超声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30分钟</w:t>
      </w:r>
      <w:r>
        <w:rPr>
          <w:rFonts w:hint="default"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滤过</w:t>
      </w:r>
      <w:r>
        <w:rPr>
          <w:rFonts w:hint="default" w:ascii="Times New Roman" w:hAnsi="Times New Roman" w:eastAsia="宋体" w:cs="Times New Roman"/>
          <w:sz w:val="24"/>
          <w:szCs w:val="24"/>
        </w:rPr>
        <w:t>，取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滤</w:t>
      </w:r>
      <w:r>
        <w:rPr>
          <w:rFonts w:hint="default" w:ascii="Times New Roman" w:hAnsi="Times New Roman" w:eastAsia="宋体" w:cs="Times New Roman"/>
          <w:sz w:val="24"/>
          <w:szCs w:val="24"/>
        </w:rPr>
        <w:t>液作为供试品溶液。另取丙氨酸对照品、甘氨酸对照品和精氨酸对照品，分别加70%乙醇制成每1ml含1mg的溶液，作为对照品溶液。照薄层色谱法（《中国药典》2025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版通则0502）试验，吸取上述两种溶液各1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～8</w:t>
      </w:r>
      <w:r>
        <w:rPr>
          <w:rFonts w:hint="default" w:ascii="Times New Roman" w:hAnsi="Times New Roman" w:eastAsia="宋体" w:cs="Times New Roman"/>
          <w:sz w:val="24"/>
          <w:szCs w:val="24"/>
        </w:rPr>
        <w:t>μl，分别点于同一硅胶G薄层板上，以</w:t>
      </w:r>
      <w:bookmarkStart w:id="2" w:name="OLE_LINK10"/>
      <w:r>
        <w:rPr>
          <w:rFonts w:hint="default" w:ascii="Times New Roman" w:hAnsi="Times New Roman" w:eastAsia="宋体" w:cs="Times New Roman"/>
          <w:sz w:val="24"/>
          <w:szCs w:val="24"/>
        </w:rPr>
        <w:t>正丁醇-冰醋酸-水（4：2：1）</w:t>
      </w:r>
      <w:bookmarkEnd w:id="2"/>
      <w:r>
        <w:rPr>
          <w:rFonts w:hint="default" w:ascii="Times New Roman" w:hAnsi="Times New Roman" w:eastAsia="宋体" w:cs="Times New Roman"/>
          <w:sz w:val="24"/>
          <w:szCs w:val="24"/>
        </w:rPr>
        <w:t>为展开剂，展开，取出，晾干，喷以茚三酮试液，在105℃加热至斑点显色清晰。供试品色谱中，在与对照品色谱相应的位置上，显相同颜色的斑点。</w:t>
      </w:r>
    </w:p>
    <w:bookmarkEnd w:id="0"/>
    <w:bookmarkEnd w:id="1"/>
    <w:p>
      <w:pPr>
        <w:spacing w:after="0" w:line="500" w:lineRule="exact"/>
        <w:ind w:firstLine="480" w:firstLineChars="200"/>
        <w:rPr>
          <w:rFonts w:eastAsia="宋体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【检查】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val="en-US" w:eastAsia="zh-CN"/>
        </w:rPr>
        <w:t>水分</w:t>
      </w:r>
      <w:r>
        <w:rPr>
          <w:rFonts w:eastAsia="宋体"/>
          <w:sz w:val="24"/>
          <w:highlight w:val="none"/>
        </w:rPr>
        <w:t xml:space="preserve">  </w:t>
      </w:r>
      <w:r>
        <w:rPr>
          <w:rFonts w:hAnsi="宋体" w:eastAsia="宋体"/>
          <w:sz w:val="24"/>
          <w:highlight w:val="none"/>
        </w:rPr>
        <w:t>不得过</w:t>
      </w:r>
      <w:r>
        <w:rPr>
          <w:rFonts w:hint="eastAsia" w:ascii="Times New Roman" w:hAnsi="Times New Roman" w:eastAsia="宋体"/>
          <w:sz w:val="24"/>
          <w:highlight w:val="none"/>
          <w:lang w:eastAsia="zh-CN"/>
        </w:rPr>
        <w:t>2</w:t>
      </w:r>
      <w:r>
        <w:rPr>
          <w:rFonts w:hint="eastAsia" w:ascii="Times New Roman" w:hAnsi="Times New Roman" w:eastAsia="宋体"/>
          <w:sz w:val="24"/>
          <w:highlight w:val="none"/>
          <w:lang w:val="en-US" w:eastAsia="zh-CN"/>
        </w:rPr>
        <w:t>0</w:t>
      </w:r>
      <w:r>
        <w:rPr>
          <w:rFonts w:ascii="Times New Roman" w:hAnsi="Times New Roman" w:eastAsia="宋体"/>
          <w:sz w:val="24"/>
          <w:highlight w:val="none"/>
        </w:rPr>
        <w:t>.0</w:t>
      </w:r>
      <w:r>
        <w:rPr>
          <w:rFonts w:hint="eastAsia" w:hAnsi="宋体" w:eastAsia="宋体"/>
          <w:sz w:val="24"/>
          <w:highlight w:val="none"/>
          <w:lang w:val="en-US" w:eastAsia="zh-CN"/>
        </w:rPr>
        <w:t>%</w:t>
      </w:r>
      <w:r>
        <w:rPr>
          <w:rFonts w:hAnsi="宋体" w:eastAsia="宋体"/>
          <w:sz w:val="24"/>
          <w:highlight w:val="none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《中国药典》2025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  <w:highlight w:val="none"/>
        </w:rPr>
        <w:t>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ascii="Times New Roman" w:hAnsi="Times New Roman" w:eastAsia="宋体"/>
          <w:sz w:val="24"/>
          <w:highlight w:val="none"/>
        </w:rPr>
        <w:t>0832</w:t>
      </w:r>
      <w:r>
        <w:rPr>
          <w:rFonts w:hint="eastAsia" w:hAnsi="宋体" w:eastAsia="宋体"/>
          <w:sz w:val="24"/>
          <w:highlight w:val="none"/>
        </w:rPr>
        <w:t>第二法</w:t>
      </w:r>
      <w:r>
        <w:rPr>
          <w:rFonts w:hAnsi="宋体" w:eastAsia="宋体"/>
          <w:sz w:val="24"/>
          <w:highlight w:val="none"/>
        </w:rPr>
        <w:t>）。</w:t>
      </w:r>
    </w:p>
    <w:p>
      <w:pPr>
        <w:spacing w:after="0" w:line="500" w:lineRule="exact"/>
        <w:ind w:firstLine="480" w:firstLineChars="200"/>
        <w:rPr>
          <w:rFonts w:hAnsi="宋体" w:eastAsia="宋体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总灰分</w:t>
      </w:r>
      <w:r>
        <w:rPr>
          <w:rFonts w:eastAsia="宋体"/>
          <w:sz w:val="24"/>
        </w:rPr>
        <w:t xml:space="preserve"> </w:t>
      </w:r>
      <w:r>
        <w:rPr>
          <w:rFonts w:hint="eastAsia" w:eastAsiaTheme="minorEastAsia"/>
          <w:sz w:val="24"/>
        </w:rPr>
        <w:t xml:space="preserve"> </w:t>
      </w:r>
      <w:r>
        <w:rPr>
          <w:rFonts w:hAnsi="宋体" w:eastAsia="宋体"/>
          <w:sz w:val="24"/>
        </w:rPr>
        <w:t>不得过</w:t>
      </w:r>
      <w:r>
        <w:rPr>
          <w:rFonts w:hint="eastAsia" w:ascii="Times New Roman" w:hAnsi="Times New Roman"/>
          <w:sz w:val="24"/>
          <w:lang w:val="en-US" w:eastAsia="zh-CN"/>
        </w:rPr>
        <w:t>15</w:t>
      </w:r>
      <w:r>
        <w:rPr>
          <w:rFonts w:ascii="Times New Roman" w:hAnsi="Times New Roman" w:eastAsia="宋体"/>
          <w:sz w:val="24"/>
        </w:rPr>
        <w:t>.0</w:t>
      </w:r>
      <w:r>
        <w:rPr>
          <w:rFonts w:hint="eastAsia" w:hAnsi="宋体" w:eastAsia="宋体"/>
          <w:sz w:val="24"/>
          <w:lang w:val="en-US" w:eastAsia="zh-CN"/>
        </w:rPr>
        <w:t>%</w:t>
      </w:r>
      <w:r>
        <w:rPr>
          <w:rFonts w:hAnsi="宋体" w:eastAsia="宋体"/>
          <w:sz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《中国药典》2025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版</w:t>
      </w:r>
      <w:r>
        <w:rPr>
          <w:rFonts w:hint="eastAsia" w:hAnsi="宋体" w:eastAsia="宋体"/>
          <w:sz w:val="24"/>
        </w:rPr>
        <w:t>通则</w:t>
      </w:r>
      <w:r>
        <w:rPr>
          <w:rFonts w:hint="eastAsia" w:ascii="Times New Roman" w:hAnsi="Times New Roman" w:eastAsia="宋体"/>
          <w:sz w:val="24"/>
        </w:rPr>
        <w:t>2302</w:t>
      </w:r>
      <w:r>
        <w:rPr>
          <w:rFonts w:hAnsi="宋体" w:eastAsia="宋体"/>
          <w:sz w:val="24"/>
        </w:rPr>
        <w:t>）。</w:t>
      </w:r>
    </w:p>
    <w:p>
      <w:pPr>
        <w:spacing w:after="0" w:line="500" w:lineRule="exact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【浸出物】</w:t>
      </w:r>
      <w:r>
        <w:rPr>
          <w:rFonts w:hint="eastAsia" w:hAnsi="宋体" w:eastAsia="宋体"/>
          <w:sz w:val="24"/>
          <w:highlight w:val="none"/>
        </w:rPr>
        <w:t>照</w:t>
      </w:r>
      <w:r>
        <w:rPr>
          <w:rFonts w:hint="eastAsia" w:hAnsi="宋体" w:eastAsia="宋体"/>
          <w:sz w:val="24"/>
          <w:highlight w:val="none"/>
          <w:lang w:eastAsia="zh-CN"/>
        </w:rPr>
        <w:t>水</w:t>
      </w:r>
      <w:r>
        <w:rPr>
          <w:rFonts w:hint="eastAsia" w:hAnsi="宋体" w:eastAsia="宋体"/>
          <w:sz w:val="24"/>
          <w:highlight w:val="none"/>
        </w:rPr>
        <w:t>溶性浸</w:t>
      </w:r>
      <w:r>
        <w:rPr>
          <w:rFonts w:hAnsi="宋体" w:eastAsia="宋体"/>
          <w:sz w:val="24"/>
          <w:highlight w:val="none"/>
        </w:rPr>
        <w:t>出物测定法（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《中国药典》2025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hint="eastAsia" w:ascii="Times New Roman" w:hAnsi="Times New Roman"/>
          <w:sz w:val="24"/>
          <w:highlight w:val="none"/>
        </w:rPr>
        <w:t>2201</w:t>
      </w:r>
      <w:r>
        <w:rPr>
          <w:rFonts w:hAnsi="宋体"/>
          <w:sz w:val="24"/>
          <w:highlight w:val="none"/>
        </w:rPr>
        <w:t>）</w:t>
      </w:r>
      <w:r>
        <w:rPr>
          <w:rFonts w:hAnsi="宋体" w:eastAsia="宋体"/>
          <w:sz w:val="24"/>
          <w:highlight w:val="none"/>
        </w:rPr>
        <w:t>项下</w:t>
      </w:r>
      <w:r>
        <w:rPr>
          <w:rFonts w:hint="eastAsia" w:hAnsi="宋体" w:eastAsia="宋体"/>
          <w:sz w:val="24"/>
          <w:highlight w:val="none"/>
        </w:rPr>
        <w:t>热</w:t>
      </w:r>
      <w:r>
        <w:rPr>
          <w:rFonts w:hAnsi="宋体" w:eastAsia="宋体"/>
          <w:sz w:val="24"/>
          <w:highlight w:val="none"/>
        </w:rPr>
        <w:t>浸法</w:t>
      </w:r>
      <w:r>
        <w:rPr>
          <w:rFonts w:hint="eastAsia" w:hAnsi="宋体" w:eastAsia="宋体"/>
          <w:sz w:val="24"/>
          <w:highlight w:val="none"/>
          <w:lang w:val="en-US" w:eastAsia="zh-CN"/>
        </w:rPr>
        <w:t>测定</w:t>
      </w:r>
      <w:r>
        <w:rPr>
          <w:rFonts w:hint="eastAsia" w:hAnsi="宋体" w:eastAsia="宋体"/>
          <w:sz w:val="24"/>
          <w:highlight w:val="none"/>
        </w:rPr>
        <w:t>，</w:t>
      </w:r>
      <w:r>
        <w:rPr>
          <w:rFonts w:hAnsi="宋体" w:eastAsia="宋体"/>
          <w:sz w:val="24"/>
          <w:highlight w:val="none"/>
        </w:rPr>
        <w:t>不得少于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30.0%</w:t>
      </w:r>
      <w:r>
        <w:rPr>
          <w:rFonts w:hAnsi="宋体"/>
          <w:sz w:val="24"/>
          <w:highlight w:val="none"/>
        </w:rPr>
        <w:t>。</w:t>
      </w:r>
    </w:p>
    <w:p>
      <w:pPr>
        <w:spacing w:after="0" w:line="500" w:lineRule="exact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【含量测定】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取本品粉末约0.lg，精密称定，照氮测定法（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《中国药典》2025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年</w:t>
      </w:r>
      <w:r>
        <w:rPr>
          <w:rFonts w:hint="default" w:ascii="Times New Roman" w:hAnsi="Times New Roman" w:eastAsia="宋体" w:cs="Times New Roman"/>
          <w:sz w:val="24"/>
          <w:szCs w:val="24"/>
        </w:rPr>
        <w:t>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通则0704第三法）测定，即得。</w:t>
      </w:r>
    </w:p>
    <w:p>
      <w:pPr>
        <w:spacing w:after="0" w:line="500" w:lineRule="exact"/>
        <w:ind w:left="239" w:leftChars="114" w:firstLine="240" w:firstLineChars="100"/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按干燥品计算，本品含总氮（N）不得少于9.0%。</w:t>
      </w:r>
    </w:p>
    <w:p>
      <w:pPr>
        <w:spacing w:after="0" w:line="500" w:lineRule="exact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甘、咸，微温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归肾、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肝、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脾经。</w:t>
      </w:r>
    </w:p>
    <w:p>
      <w:pPr>
        <w:spacing w:after="0" w:line="500" w:lineRule="exact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补益肝肾，滋阴养血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用于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肾虚腰痛，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腰膝酸软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，遗精，滑精，崩漏带下，耳鸣目眩，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消渴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>
      <w:pPr>
        <w:spacing w:after="0" w:line="500" w:lineRule="exact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15～30g。</w:t>
      </w:r>
    </w:p>
    <w:p>
      <w:pPr>
        <w:spacing w:after="0" w:line="500" w:lineRule="exact"/>
        <w:ind w:firstLine="480" w:firstLineChars="200"/>
        <w:rPr>
          <w:rFonts w:hint="default" w:ascii="Times New Roman" w:hAnsi="Times New Roman" w:eastAsia="宋体" w:cs="Times New Roman"/>
          <w:sz w:val="24"/>
          <w:highlight w:val="none"/>
          <w:u w:val="none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注意</w:t>
      </w: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p>
      <w:pPr>
        <w:spacing w:after="0" w:line="500" w:lineRule="exact"/>
        <w:ind w:firstLine="480" w:firstLineChars="200"/>
        <w:rPr>
          <w:rFonts w:hint="default" w:ascii="Times New Roman" w:hAnsi="Times New Roman" w:cs="Times New Roman" w:eastAsiaTheme="minorEastAsia"/>
          <w:b/>
          <w:sz w:val="24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【贮藏】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2"/>
          <w:highlight w:val="none"/>
          <w:u w:val="none"/>
          <w:lang w:val="en-US" w:eastAsia="zh-CN"/>
        </w:rPr>
        <w:t>置阴凉干燥处。</w:t>
      </w:r>
      <w:r>
        <w:rPr>
          <w:rFonts w:hint="default" w:ascii="Times New Roman" w:hAnsi="Times New Roman" w:cs="Times New Roman"/>
          <w:sz w:val="24"/>
          <w:highlight w:val="none"/>
          <w:u w:val="none"/>
          <w:lang w:eastAsia="zh-CN"/>
        </w:rPr>
        <w:t>防潮，防霉，防蛀。</w:t>
      </w:r>
      <w:r>
        <w:rPr>
          <w:rFonts w:hint="eastAsia" w:ascii="Times New Roman" w:hAnsi="Times New Roman" w:cs="Times New Roman"/>
          <w:sz w:val="24"/>
          <w:highlight w:val="none"/>
          <w:u w:val="none"/>
          <w:lang w:val="en-US" w:eastAsia="zh-CN"/>
        </w:rPr>
        <w:t>长期保存在-18℃及以下。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D1871"/>
    <w:rsid w:val="08E81855"/>
    <w:rsid w:val="094E71DE"/>
    <w:rsid w:val="0B7955DE"/>
    <w:rsid w:val="0C281F69"/>
    <w:rsid w:val="116E2B13"/>
    <w:rsid w:val="117F6322"/>
    <w:rsid w:val="122710E0"/>
    <w:rsid w:val="1A815C52"/>
    <w:rsid w:val="1AF706A2"/>
    <w:rsid w:val="1D6B5616"/>
    <w:rsid w:val="1DE8351C"/>
    <w:rsid w:val="1E5B541A"/>
    <w:rsid w:val="1F5B0B46"/>
    <w:rsid w:val="20AA40FF"/>
    <w:rsid w:val="21270144"/>
    <w:rsid w:val="21FF3CD5"/>
    <w:rsid w:val="24E11AF5"/>
    <w:rsid w:val="25445C0D"/>
    <w:rsid w:val="25C96113"/>
    <w:rsid w:val="26E72CF4"/>
    <w:rsid w:val="2F6A001E"/>
    <w:rsid w:val="2FAE6CA1"/>
    <w:rsid w:val="2FB627D1"/>
    <w:rsid w:val="310D3357"/>
    <w:rsid w:val="34966E19"/>
    <w:rsid w:val="35633E8E"/>
    <w:rsid w:val="4335133D"/>
    <w:rsid w:val="4364778E"/>
    <w:rsid w:val="444023EC"/>
    <w:rsid w:val="45322F35"/>
    <w:rsid w:val="48025842"/>
    <w:rsid w:val="4A520AB3"/>
    <w:rsid w:val="4BE8259F"/>
    <w:rsid w:val="50513096"/>
    <w:rsid w:val="529671F9"/>
    <w:rsid w:val="52F87EEB"/>
    <w:rsid w:val="539620A7"/>
    <w:rsid w:val="557E81CD"/>
    <w:rsid w:val="55827BF1"/>
    <w:rsid w:val="5641016C"/>
    <w:rsid w:val="59837DAB"/>
    <w:rsid w:val="60157798"/>
    <w:rsid w:val="607C3BE1"/>
    <w:rsid w:val="63486E1C"/>
    <w:rsid w:val="656025DC"/>
    <w:rsid w:val="6841330B"/>
    <w:rsid w:val="68D45F2D"/>
    <w:rsid w:val="69407A67"/>
    <w:rsid w:val="6A9C2A7B"/>
    <w:rsid w:val="6D2F5E28"/>
    <w:rsid w:val="6E641B01"/>
    <w:rsid w:val="6FFE7D34"/>
    <w:rsid w:val="703F30C8"/>
    <w:rsid w:val="713A2FED"/>
    <w:rsid w:val="72ED20ED"/>
    <w:rsid w:val="76707439"/>
    <w:rsid w:val="768865A9"/>
    <w:rsid w:val="78961451"/>
    <w:rsid w:val="78A25347"/>
    <w:rsid w:val="78F54612"/>
    <w:rsid w:val="79336CA0"/>
    <w:rsid w:val="794A609C"/>
    <w:rsid w:val="7DB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585</Words>
  <Characters>725</Characters>
  <Lines>0</Lines>
  <Paragraphs>0</Paragraphs>
  <TotalTime>0</TotalTime>
  <ScaleCrop>false</ScaleCrop>
  <LinksUpToDate>false</LinksUpToDate>
  <CharactersWithSpaces>734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2025-06-28T01:18:00Z</dcterms:created>
  <dc:creator>Administrator</dc:creator>
  <cp:lastModifiedBy>gxxc</cp:lastModifiedBy>
  <dcterms:modified xsi:type="dcterms:W3CDTF">2025-12-25T10:33:54Z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D42A8201AD974E79819DAE2DE21F0C5A_13</vt:lpwstr>
  </property>
</Properties>
</file>